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99599DF" w:rsidR="00E66558" w:rsidRDefault="00C11EB4">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7" w:history="1">
                              <w:r w:rsidRPr="00D348C0">
                                <w:rPr>
                                  <w:rStyle w:val="Hyperlink"/>
                                </w:rPr>
                                <w:t>using your pupil premium funding effectively</w:t>
                              </w:r>
                            </w:hyperlink>
                            <w:r w:rsidRPr="00D348C0">
                              <w:rPr>
                                <w:bCs/>
                                <w:color w:val="auto"/>
                              </w:rPr>
                              <w:t xml:space="preserve"> and DfE’s </w:t>
                            </w:r>
                            <w:hyperlink r:id="rId8"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alt="&quot;&quot;"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" fillcolor="#f2f2f2" strokeweight=".26467mm">
                <v:textbo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9" w:history="1">
                        <w:r w:rsidRPr="00D348C0">
                          <w:rPr>
                            <w:rStyle w:val="Hyperlink"/>
                          </w:rPr>
                          <w:t>using your pupil premium funding effectively</w:t>
                        </w:r>
                      </w:hyperlink>
                      <w:r w:rsidRPr="00D348C0">
                        <w:rPr>
                          <w:bCs/>
                          <w:color w:val="auto"/>
                        </w:rPr>
                        <w:t xml:space="preserve"> and DfE’s </w:t>
                      </w:r>
                      <w:hyperlink r:id="rId10"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6"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6"/>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r w:rsidR="00226317">
        <w:t xml:space="preserve"> – </w:t>
      </w:r>
      <w:r w:rsidR="00A165D2">
        <w:t>St. Michael’s Community Academy</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7"/>
      <w:bookmarkEnd w:id="8"/>
      <w:bookmarkEnd w:id="9"/>
      <w:bookmarkEnd w:id="10"/>
      <w:bookmarkEnd w:id="11"/>
      <w:bookmarkEnd w:id="12"/>
      <w:bookmarkEnd w:id="13"/>
      <w:bookmarkEnd w:id="14"/>
      <w:bookmarkEnd w:id="15"/>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D624B1" w14:textId="77777777" w:rsidR="002940F3" w:rsidRDefault="00A165D2">
            <w:pPr>
              <w:pStyle w:val="TableRow"/>
            </w:pPr>
            <w:r>
              <w:t>455 (2-11 years of age)</w:t>
            </w:r>
          </w:p>
          <w:p w14:paraId="2A7D54B9" w14:textId="57EDAFFC" w:rsidR="00537167" w:rsidRDefault="00537167">
            <w:pPr>
              <w:pStyle w:val="TableRow"/>
            </w:pPr>
            <w:r>
              <w:t>388 (Rec – Y6)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85BD022" w:rsidR="002940F3" w:rsidRDefault="00537167">
            <w:pPr>
              <w:pStyle w:val="TableRow"/>
            </w:pPr>
            <w:r>
              <w:t>50% (Rec – Y6)</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27DE9CB" w:rsidR="002940F3" w:rsidRDefault="003954FA">
            <w:pPr>
              <w:pStyle w:val="TableRow"/>
            </w:pPr>
            <w:r w:rsidRPr="003954FA">
              <w:rPr>
                <w:b/>
                <w:bCs/>
              </w:rPr>
              <w:t>2023-25</w:t>
            </w:r>
            <w:r>
              <w:t xml:space="preserve"> (plan has, with some adaptations, been continued from previous plan, which was due to conclude in Summer 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425C6B6" w:rsidR="002940F3" w:rsidRDefault="00A165D2">
            <w:pPr>
              <w:pStyle w:val="TableRow"/>
            </w:pPr>
            <w:r>
              <w:t>31</w:t>
            </w:r>
            <w:r w:rsidRPr="00A165D2">
              <w:rPr>
                <w:vertAlign w:val="superscript"/>
              </w:rPr>
              <w:t>st</w:t>
            </w:r>
            <w:r>
              <w:t xml:space="preserve"> 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0CAC3B1" w:rsidR="002940F3" w:rsidRDefault="00A165D2">
            <w:pPr>
              <w:pStyle w:val="TableRow"/>
            </w:pPr>
            <w:r>
              <w:t>1</w:t>
            </w:r>
            <w:r w:rsidRPr="00A165D2">
              <w:rPr>
                <w:vertAlign w:val="superscript"/>
              </w:rPr>
              <w:t>st</w:t>
            </w:r>
            <w:r>
              <w:t xml:space="preserve"> October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125CA36" w:rsidR="002940F3" w:rsidRDefault="002F4242">
            <w:pPr>
              <w:pStyle w:val="TableRow"/>
            </w:pPr>
            <w:r>
              <w:t>D. Jobling</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89179FE" w:rsidR="002940F3" w:rsidRDefault="00A165D2">
            <w:pPr>
              <w:pStyle w:val="TableRow"/>
            </w:pPr>
            <w:r>
              <w:t>D. Jobling</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lastRenderedPageBreak/>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94153FE" w:rsidR="002940F3" w:rsidRDefault="00A165D2">
            <w:pPr>
              <w:pStyle w:val="TableRow"/>
            </w:pPr>
            <w:r>
              <w:t>R. G. Lowe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FB0BAF3" w:rsidR="00E66558" w:rsidRDefault="009D71E8">
            <w:pPr>
              <w:pStyle w:val="TableRow"/>
            </w:pPr>
            <w:r>
              <w:t>£</w:t>
            </w:r>
            <w:r w:rsidR="00A165D2">
              <w:t>252,443.00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8B118E7" w:rsidR="00E66558" w:rsidRDefault="009D71E8">
            <w:pPr>
              <w:pStyle w:val="TableRow"/>
            </w:pPr>
            <w:r>
              <w:t>£</w:t>
            </w:r>
            <w:r w:rsidR="00A165D2">
              <w:t>25,303.00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BC6212C" w:rsidR="00E66558" w:rsidRDefault="009D71E8">
            <w:pPr>
              <w:pStyle w:val="TableRow"/>
            </w:pPr>
            <w:r>
              <w:t>£</w:t>
            </w:r>
            <w:r w:rsidR="00A165D2">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168B527" w:rsidR="00E66558" w:rsidRDefault="009D71E8">
            <w:pPr>
              <w:pStyle w:val="TableRow"/>
            </w:pPr>
            <w:r>
              <w:t>£</w:t>
            </w:r>
            <w:r w:rsidR="00A165D2">
              <w:t>277,746.00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B221" w14:textId="77777777" w:rsidR="00A165D2" w:rsidRDefault="00A165D2" w:rsidP="00A165D2">
            <w:pPr>
              <w:suppressAutoHyphens w:val="0"/>
              <w:autoSpaceDN/>
              <w:spacing w:after="0" w:line="240" w:lineRule="auto"/>
              <w:rPr>
                <w:rFonts w:cs="Arial"/>
                <w:color w:val="auto"/>
                <w:sz w:val="22"/>
                <w:szCs w:val="22"/>
              </w:rPr>
            </w:pPr>
            <w:r>
              <w:rPr>
                <w:rFonts w:cs="Arial"/>
                <w:color w:val="auto"/>
                <w:sz w:val="22"/>
                <w:szCs w:val="22"/>
              </w:rPr>
              <w:t>It is an essential part of our school ethos that all pupils, regardless of background or ability, will achieve the very best that they are capable of during their time with us. As a school with a high percentage of disadvantaged children it is therefore essential that our pupil premium funding is spent carefully on areas that will improve outcomes, and that the success of this is measured accurately. Accordingly, t</w:t>
            </w:r>
            <w:r w:rsidRPr="00BE57AC">
              <w:rPr>
                <w:rFonts w:cs="Arial"/>
                <w:color w:val="auto"/>
                <w:sz w:val="22"/>
                <w:szCs w:val="22"/>
              </w:rPr>
              <w:t xml:space="preserve">he planned spend of this year’s grant </w:t>
            </w:r>
            <w:r>
              <w:rPr>
                <w:rFonts w:cs="Arial"/>
                <w:color w:val="auto"/>
                <w:sz w:val="22"/>
                <w:szCs w:val="22"/>
              </w:rPr>
              <w:t xml:space="preserve">(including our COVID recovery grant) </w:t>
            </w:r>
            <w:proofErr w:type="gramStart"/>
            <w:r w:rsidRPr="00BE57AC">
              <w:rPr>
                <w:rFonts w:cs="Arial"/>
                <w:color w:val="auto"/>
                <w:sz w:val="22"/>
                <w:szCs w:val="22"/>
              </w:rPr>
              <w:t>takes into account</w:t>
            </w:r>
            <w:proofErr w:type="gramEnd"/>
            <w:r w:rsidRPr="00BE57AC">
              <w:rPr>
                <w:rFonts w:cs="Arial"/>
                <w:color w:val="auto"/>
                <w:sz w:val="22"/>
                <w:szCs w:val="22"/>
              </w:rPr>
              <w:t xml:space="preserve"> the research findings of the Education Endowment Foundation</w:t>
            </w:r>
            <w:r>
              <w:rPr>
                <w:rFonts w:cs="Arial"/>
                <w:color w:val="auto"/>
                <w:sz w:val="22"/>
                <w:szCs w:val="22"/>
              </w:rPr>
              <w:t>,</w:t>
            </w:r>
            <w:r w:rsidRPr="00BE57AC">
              <w:rPr>
                <w:rFonts w:cs="Arial"/>
                <w:color w:val="auto"/>
                <w:sz w:val="22"/>
                <w:szCs w:val="22"/>
              </w:rPr>
              <w:t xml:space="preserve"> </w:t>
            </w:r>
            <w:r>
              <w:rPr>
                <w:rFonts w:cs="Arial"/>
                <w:color w:val="auto"/>
                <w:sz w:val="22"/>
                <w:szCs w:val="22"/>
              </w:rPr>
              <w:t>as well as our professional understanding of the particular context of disadvantage</w:t>
            </w:r>
            <w:r w:rsidRPr="00BE57AC">
              <w:rPr>
                <w:rFonts w:cs="Arial"/>
                <w:color w:val="auto"/>
                <w:sz w:val="22"/>
                <w:szCs w:val="22"/>
              </w:rPr>
              <w:t xml:space="preserve"> at our school. </w:t>
            </w:r>
            <w:r>
              <w:rPr>
                <w:rFonts w:cs="Arial"/>
                <w:color w:val="auto"/>
                <w:sz w:val="22"/>
                <w:szCs w:val="22"/>
              </w:rPr>
              <w:t xml:space="preserve">This document refers to the findings of the EEF, and </w:t>
            </w:r>
            <w:proofErr w:type="gramStart"/>
            <w:r>
              <w:rPr>
                <w:rFonts w:cs="Arial"/>
                <w:color w:val="auto"/>
                <w:sz w:val="22"/>
                <w:szCs w:val="22"/>
              </w:rPr>
              <w:t>in particular the</w:t>
            </w:r>
            <w:proofErr w:type="gramEnd"/>
            <w:r>
              <w:rPr>
                <w:rFonts w:cs="Arial"/>
                <w:color w:val="auto"/>
                <w:sz w:val="22"/>
                <w:szCs w:val="22"/>
              </w:rPr>
              <w:t xml:space="preserve"> EEF Education toolkit, wherever possible. The website can be found at </w:t>
            </w:r>
            <w:hyperlink r:id="rId11" w:history="1">
              <w:r w:rsidRPr="00584184">
                <w:rPr>
                  <w:rStyle w:val="Hyperlink"/>
                  <w:rFonts w:cs="Arial"/>
                  <w:sz w:val="22"/>
                  <w:szCs w:val="22"/>
                </w:rPr>
                <w:t>https://educationendowmentfoundation.org.uk/</w:t>
              </w:r>
            </w:hyperlink>
            <w:r>
              <w:rPr>
                <w:rFonts w:cs="Arial"/>
                <w:color w:val="auto"/>
                <w:sz w:val="22"/>
                <w:szCs w:val="22"/>
              </w:rPr>
              <w:t xml:space="preserve"> </w:t>
            </w:r>
          </w:p>
          <w:p w14:paraId="4FD87AC6" w14:textId="77777777" w:rsidR="00A165D2" w:rsidRDefault="00A165D2" w:rsidP="00A165D2">
            <w:pPr>
              <w:suppressAutoHyphens w:val="0"/>
              <w:autoSpaceDN/>
              <w:spacing w:after="0" w:line="240" w:lineRule="auto"/>
              <w:rPr>
                <w:rFonts w:cs="Arial"/>
                <w:color w:val="auto"/>
                <w:sz w:val="22"/>
                <w:szCs w:val="22"/>
              </w:rPr>
            </w:pPr>
          </w:p>
          <w:p w14:paraId="3EEACF3A" w14:textId="77777777" w:rsidR="00A165D2" w:rsidRPr="00BE57AC" w:rsidRDefault="00A165D2" w:rsidP="00A165D2">
            <w:pPr>
              <w:suppressAutoHyphens w:val="0"/>
              <w:autoSpaceDN/>
              <w:spacing w:after="0" w:line="240" w:lineRule="auto"/>
              <w:rPr>
                <w:rFonts w:cs="Arial"/>
                <w:color w:val="auto"/>
                <w:sz w:val="22"/>
                <w:szCs w:val="22"/>
              </w:rPr>
            </w:pPr>
            <w:r w:rsidRPr="00BE57AC">
              <w:rPr>
                <w:rFonts w:cs="Arial"/>
                <w:color w:val="auto"/>
                <w:sz w:val="22"/>
                <w:szCs w:val="22"/>
              </w:rPr>
              <w:t xml:space="preserve">To </w:t>
            </w:r>
            <w:r>
              <w:rPr>
                <w:rFonts w:cs="Arial"/>
                <w:color w:val="auto"/>
                <w:sz w:val="22"/>
                <w:szCs w:val="22"/>
              </w:rPr>
              <w:t>improve</w:t>
            </w:r>
            <w:r w:rsidRPr="00BE57AC">
              <w:rPr>
                <w:rFonts w:cs="Arial"/>
                <w:color w:val="auto"/>
                <w:sz w:val="22"/>
                <w:szCs w:val="22"/>
              </w:rPr>
              <w:t xml:space="preserve"> outcomes </w:t>
            </w:r>
            <w:r>
              <w:rPr>
                <w:rFonts w:cs="Arial"/>
                <w:color w:val="auto"/>
                <w:sz w:val="22"/>
                <w:szCs w:val="22"/>
              </w:rPr>
              <w:t>for all pupils</w:t>
            </w:r>
            <w:r w:rsidRPr="00BE57AC">
              <w:rPr>
                <w:rFonts w:cs="Arial"/>
                <w:color w:val="auto"/>
                <w:sz w:val="22"/>
                <w:szCs w:val="22"/>
              </w:rPr>
              <w:t>, we intend to follow the approach recommended by the EEF and have split our strategy into three “tiers”:</w:t>
            </w:r>
          </w:p>
          <w:p w14:paraId="511CC0FB" w14:textId="77777777" w:rsidR="00A165D2" w:rsidRPr="00BE57AC" w:rsidRDefault="00A165D2" w:rsidP="00A165D2">
            <w:pPr>
              <w:suppressAutoHyphens w:val="0"/>
              <w:autoSpaceDN/>
              <w:spacing w:after="0" w:line="240" w:lineRule="auto"/>
              <w:rPr>
                <w:rFonts w:cs="Arial"/>
                <w:color w:val="auto"/>
                <w:sz w:val="22"/>
                <w:szCs w:val="22"/>
              </w:rPr>
            </w:pPr>
          </w:p>
          <w:p w14:paraId="57244003" w14:textId="77777777" w:rsidR="00A165D2" w:rsidRPr="00BE57AC" w:rsidRDefault="00A165D2" w:rsidP="00A165D2">
            <w:pPr>
              <w:numPr>
                <w:ilvl w:val="0"/>
                <w:numId w:val="16"/>
              </w:numPr>
              <w:suppressAutoHyphens w:val="0"/>
              <w:autoSpaceDN/>
              <w:spacing w:after="0" w:line="240" w:lineRule="auto"/>
              <w:rPr>
                <w:rFonts w:cs="Arial"/>
                <w:color w:val="auto"/>
                <w:sz w:val="22"/>
                <w:szCs w:val="22"/>
              </w:rPr>
            </w:pPr>
            <w:r>
              <w:rPr>
                <w:rFonts w:cs="Arial"/>
                <w:color w:val="auto"/>
                <w:sz w:val="22"/>
                <w:szCs w:val="22"/>
              </w:rPr>
              <w:t xml:space="preserve">High Quality Teaching </w:t>
            </w:r>
          </w:p>
          <w:p w14:paraId="24B8A356" w14:textId="77777777" w:rsidR="00A165D2" w:rsidRPr="00BE57AC" w:rsidRDefault="00A165D2" w:rsidP="00A165D2">
            <w:pPr>
              <w:numPr>
                <w:ilvl w:val="0"/>
                <w:numId w:val="16"/>
              </w:numPr>
              <w:suppressAutoHyphens w:val="0"/>
              <w:autoSpaceDN/>
              <w:spacing w:after="0" w:line="240" w:lineRule="auto"/>
              <w:rPr>
                <w:rFonts w:cs="Arial"/>
                <w:color w:val="auto"/>
                <w:sz w:val="22"/>
                <w:szCs w:val="22"/>
              </w:rPr>
            </w:pPr>
            <w:r w:rsidRPr="00BE57AC">
              <w:rPr>
                <w:rFonts w:cs="Arial"/>
                <w:color w:val="auto"/>
                <w:sz w:val="22"/>
                <w:szCs w:val="22"/>
              </w:rPr>
              <w:t>Targeted Support</w:t>
            </w:r>
          </w:p>
          <w:p w14:paraId="5A5ED177" w14:textId="77777777" w:rsidR="00A165D2" w:rsidRPr="00BE57AC" w:rsidRDefault="00A165D2" w:rsidP="00A165D2">
            <w:pPr>
              <w:numPr>
                <w:ilvl w:val="0"/>
                <w:numId w:val="16"/>
              </w:numPr>
              <w:suppressAutoHyphens w:val="0"/>
              <w:autoSpaceDN/>
              <w:spacing w:after="0" w:line="240" w:lineRule="auto"/>
              <w:rPr>
                <w:rFonts w:cs="Arial"/>
                <w:color w:val="auto"/>
                <w:sz w:val="22"/>
                <w:szCs w:val="22"/>
              </w:rPr>
            </w:pPr>
            <w:r w:rsidRPr="00BE57AC">
              <w:rPr>
                <w:rFonts w:cs="Arial"/>
                <w:color w:val="auto"/>
                <w:sz w:val="22"/>
                <w:szCs w:val="22"/>
              </w:rPr>
              <w:t>Wider Strategies</w:t>
            </w:r>
          </w:p>
          <w:p w14:paraId="0296970E" w14:textId="77777777" w:rsidR="00A165D2" w:rsidRPr="00BE57AC" w:rsidRDefault="00A165D2" w:rsidP="00A165D2">
            <w:pPr>
              <w:suppressAutoHyphens w:val="0"/>
              <w:autoSpaceDN/>
              <w:spacing w:after="0" w:line="240" w:lineRule="auto"/>
              <w:rPr>
                <w:rFonts w:cs="Arial"/>
                <w:color w:val="auto"/>
                <w:sz w:val="22"/>
                <w:szCs w:val="22"/>
              </w:rPr>
            </w:pPr>
          </w:p>
          <w:p w14:paraId="662D98E0" w14:textId="77777777" w:rsidR="00A165D2" w:rsidRPr="00BE57AC" w:rsidRDefault="00A165D2" w:rsidP="00A165D2">
            <w:pPr>
              <w:suppressAutoHyphens w:val="0"/>
              <w:autoSpaceDN/>
              <w:spacing w:after="0" w:line="240" w:lineRule="auto"/>
              <w:rPr>
                <w:rFonts w:cs="Arial"/>
                <w:color w:val="auto"/>
                <w:sz w:val="22"/>
                <w:szCs w:val="22"/>
              </w:rPr>
            </w:pPr>
            <w:r w:rsidRPr="00BE57AC">
              <w:rPr>
                <w:rFonts w:cs="Arial"/>
                <w:color w:val="auto"/>
                <w:sz w:val="22"/>
                <w:szCs w:val="22"/>
              </w:rPr>
              <w:t xml:space="preserve">In </w:t>
            </w:r>
            <w:r>
              <w:rPr>
                <w:rFonts w:cs="Arial"/>
                <w:color w:val="auto"/>
                <w:sz w:val="22"/>
                <w:szCs w:val="22"/>
              </w:rPr>
              <w:t xml:space="preserve">addition to the above, and </w:t>
            </w:r>
            <w:proofErr w:type="gramStart"/>
            <w:r>
              <w:rPr>
                <w:rFonts w:cs="Arial"/>
                <w:color w:val="auto"/>
                <w:sz w:val="22"/>
                <w:szCs w:val="22"/>
              </w:rPr>
              <w:t xml:space="preserve">in </w:t>
            </w:r>
            <w:r w:rsidRPr="00BE57AC">
              <w:rPr>
                <w:rFonts w:cs="Arial"/>
                <w:color w:val="auto"/>
                <w:sz w:val="22"/>
                <w:szCs w:val="22"/>
              </w:rPr>
              <w:t>order to</w:t>
            </w:r>
            <w:proofErr w:type="gramEnd"/>
            <w:r w:rsidRPr="00BE57AC">
              <w:rPr>
                <w:rFonts w:cs="Arial"/>
                <w:color w:val="auto"/>
                <w:sz w:val="22"/>
                <w:szCs w:val="22"/>
              </w:rPr>
              <w:t xml:space="preserve"> achieve our aims</w:t>
            </w:r>
            <w:r>
              <w:rPr>
                <w:rFonts w:cs="Arial"/>
                <w:color w:val="auto"/>
                <w:sz w:val="22"/>
                <w:szCs w:val="22"/>
              </w:rPr>
              <w:t>,</w:t>
            </w:r>
            <w:r w:rsidRPr="00BE57AC">
              <w:rPr>
                <w:rFonts w:cs="Arial"/>
                <w:color w:val="auto"/>
                <w:sz w:val="22"/>
                <w:szCs w:val="22"/>
              </w:rPr>
              <w:t xml:space="preserve"> we will adopt 5 key EEF “drivers” </w:t>
            </w:r>
            <w:r>
              <w:rPr>
                <w:rFonts w:cs="Arial"/>
                <w:color w:val="auto"/>
                <w:sz w:val="22"/>
                <w:szCs w:val="22"/>
              </w:rPr>
              <w:t>from the toolkit and embed them across all areas of school activity</w:t>
            </w:r>
            <w:r w:rsidRPr="00BE57AC">
              <w:rPr>
                <w:rFonts w:cs="Arial"/>
                <w:color w:val="auto"/>
                <w:sz w:val="22"/>
                <w:szCs w:val="22"/>
              </w:rPr>
              <w:t xml:space="preserve">. </w:t>
            </w:r>
            <w:r>
              <w:rPr>
                <w:rFonts w:cs="Arial"/>
                <w:color w:val="auto"/>
                <w:sz w:val="22"/>
                <w:szCs w:val="22"/>
              </w:rPr>
              <w:t>Each of these well-researched areas has</w:t>
            </w:r>
            <w:r w:rsidRPr="00BE57AC">
              <w:rPr>
                <w:rFonts w:cs="Arial"/>
                <w:color w:val="auto"/>
                <w:sz w:val="22"/>
                <w:szCs w:val="22"/>
              </w:rPr>
              <w:t xml:space="preserve"> been carefully selected as</w:t>
            </w:r>
            <w:r>
              <w:rPr>
                <w:rFonts w:cs="Arial"/>
                <w:color w:val="auto"/>
                <w:sz w:val="22"/>
                <w:szCs w:val="22"/>
              </w:rPr>
              <w:t xml:space="preserve"> a</w:t>
            </w:r>
            <w:r w:rsidRPr="00BE57AC">
              <w:rPr>
                <w:rFonts w:cs="Arial"/>
                <w:color w:val="auto"/>
                <w:sz w:val="22"/>
                <w:szCs w:val="22"/>
              </w:rPr>
              <w:t xml:space="preserve"> “best bet” for our school.</w:t>
            </w:r>
          </w:p>
          <w:p w14:paraId="7E4EAA55" w14:textId="77777777" w:rsidR="00A165D2" w:rsidRPr="00BE57AC" w:rsidRDefault="00A165D2" w:rsidP="00A165D2">
            <w:pPr>
              <w:suppressAutoHyphens w:val="0"/>
              <w:autoSpaceDN/>
              <w:spacing w:after="0" w:line="240" w:lineRule="auto"/>
              <w:rPr>
                <w:rFonts w:cs="Arial"/>
                <w:color w:val="auto"/>
                <w:sz w:val="22"/>
                <w:szCs w:val="22"/>
              </w:rPr>
            </w:pPr>
          </w:p>
          <w:p w14:paraId="2AE9715F" w14:textId="77777777" w:rsidR="00A165D2" w:rsidRPr="00E052FA" w:rsidRDefault="00A165D2" w:rsidP="00A165D2">
            <w:pPr>
              <w:suppressAutoHyphens w:val="0"/>
              <w:autoSpaceDN/>
              <w:spacing w:after="0" w:line="240" w:lineRule="auto"/>
              <w:rPr>
                <w:rFonts w:cs="Arial"/>
                <w:b/>
                <w:color w:val="auto"/>
                <w:sz w:val="22"/>
                <w:szCs w:val="22"/>
              </w:rPr>
            </w:pPr>
            <w:r w:rsidRPr="00E052FA">
              <w:rPr>
                <w:rFonts w:cs="Arial"/>
                <w:b/>
                <w:color w:val="auto"/>
                <w:sz w:val="22"/>
                <w:szCs w:val="22"/>
              </w:rPr>
              <w:t xml:space="preserve">The drivers </w:t>
            </w:r>
            <w:r>
              <w:rPr>
                <w:rFonts w:cs="Arial"/>
                <w:b/>
                <w:color w:val="auto"/>
                <w:sz w:val="22"/>
                <w:szCs w:val="22"/>
              </w:rPr>
              <w:t xml:space="preserve">at St. Michael’s </w:t>
            </w:r>
            <w:r w:rsidRPr="00E052FA">
              <w:rPr>
                <w:rFonts w:cs="Arial"/>
                <w:b/>
                <w:color w:val="auto"/>
                <w:sz w:val="22"/>
                <w:szCs w:val="22"/>
              </w:rPr>
              <w:t>are:</w:t>
            </w:r>
          </w:p>
          <w:p w14:paraId="58AF11F7" w14:textId="77777777" w:rsidR="00A165D2" w:rsidRPr="00BE57AC" w:rsidRDefault="00A165D2" w:rsidP="00A165D2">
            <w:pPr>
              <w:suppressAutoHyphens w:val="0"/>
              <w:autoSpaceDN/>
              <w:spacing w:after="0" w:line="240" w:lineRule="auto"/>
              <w:rPr>
                <w:rFonts w:cs="Arial"/>
                <w:color w:val="auto"/>
                <w:sz w:val="22"/>
                <w:szCs w:val="22"/>
              </w:rPr>
            </w:pPr>
          </w:p>
          <w:p w14:paraId="4F51235F" w14:textId="77777777" w:rsidR="00A165D2" w:rsidRDefault="00A165D2" w:rsidP="00A165D2">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Oracy/Language acquisition</w:t>
            </w:r>
            <w:r w:rsidRPr="00BE57AC">
              <w:rPr>
                <w:rFonts w:cs="Arial"/>
                <w:color w:val="auto"/>
                <w:sz w:val="22"/>
                <w:szCs w:val="22"/>
              </w:rPr>
              <w:t xml:space="preserve"> </w:t>
            </w:r>
            <w:r>
              <w:rPr>
                <w:rFonts w:cs="Arial"/>
                <w:color w:val="auto"/>
                <w:sz w:val="22"/>
                <w:szCs w:val="22"/>
              </w:rPr>
              <w:t>(</w:t>
            </w:r>
            <w:r w:rsidRPr="00E052FA">
              <w:rPr>
                <w:rFonts w:cs="Arial"/>
                <w:i/>
                <w:color w:val="auto"/>
                <w:sz w:val="22"/>
                <w:szCs w:val="22"/>
              </w:rPr>
              <w:t>EEF +6 months of progress</w:t>
            </w:r>
            <w:r>
              <w:rPr>
                <w:rFonts w:cs="Arial"/>
                <w:color w:val="auto"/>
                <w:sz w:val="22"/>
                <w:szCs w:val="22"/>
              </w:rPr>
              <w:t>)</w:t>
            </w:r>
          </w:p>
          <w:p w14:paraId="76C6C9E7" w14:textId="77777777" w:rsidR="00A165D2" w:rsidRPr="00BE57AC" w:rsidRDefault="00A165D2" w:rsidP="00A165D2">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Effective Feedback</w:t>
            </w:r>
            <w:r>
              <w:rPr>
                <w:rFonts w:cs="Arial"/>
                <w:color w:val="auto"/>
                <w:sz w:val="22"/>
                <w:szCs w:val="22"/>
              </w:rPr>
              <w:t xml:space="preserve"> ((</w:t>
            </w:r>
            <w:r w:rsidRPr="00E052FA">
              <w:rPr>
                <w:rFonts w:cs="Arial"/>
                <w:i/>
                <w:color w:val="auto"/>
                <w:sz w:val="22"/>
                <w:szCs w:val="22"/>
              </w:rPr>
              <w:t>EEF +6 months of progress</w:t>
            </w:r>
            <w:r>
              <w:rPr>
                <w:rFonts w:cs="Arial"/>
                <w:color w:val="auto"/>
                <w:sz w:val="22"/>
                <w:szCs w:val="22"/>
              </w:rPr>
              <w:t>)</w:t>
            </w:r>
          </w:p>
          <w:p w14:paraId="433C8D51" w14:textId="77777777" w:rsidR="00A165D2" w:rsidRPr="00BE57AC" w:rsidRDefault="00A165D2" w:rsidP="00A165D2">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Metacognition</w:t>
            </w:r>
            <w:r>
              <w:rPr>
                <w:rFonts w:cs="Arial"/>
                <w:color w:val="auto"/>
                <w:sz w:val="22"/>
                <w:szCs w:val="22"/>
              </w:rPr>
              <w:t xml:space="preserve"> (</w:t>
            </w:r>
            <w:r w:rsidRPr="00E052FA">
              <w:rPr>
                <w:rFonts w:cs="Arial"/>
                <w:i/>
                <w:color w:val="auto"/>
                <w:sz w:val="22"/>
                <w:szCs w:val="22"/>
              </w:rPr>
              <w:t>EEF +7 months of progress</w:t>
            </w:r>
            <w:r>
              <w:rPr>
                <w:rFonts w:cs="Arial"/>
                <w:color w:val="auto"/>
                <w:sz w:val="22"/>
                <w:szCs w:val="22"/>
              </w:rPr>
              <w:t>)</w:t>
            </w:r>
          </w:p>
          <w:p w14:paraId="05063392" w14:textId="77777777" w:rsidR="00A165D2" w:rsidRPr="00BE57AC" w:rsidRDefault="00A165D2" w:rsidP="00A165D2">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Collaborative Learning</w:t>
            </w:r>
            <w:r>
              <w:rPr>
                <w:rFonts w:cs="Arial"/>
                <w:color w:val="auto"/>
                <w:sz w:val="22"/>
                <w:szCs w:val="22"/>
              </w:rPr>
              <w:t xml:space="preserve"> (</w:t>
            </w:r>
            <w:r w:rsidRPr="00E052FA">
              <w:rPr>
                <w:rFonts w:cs="Arial"/>
                <w:i/>
                <w:color w:val="auto"/>
                <w:sz w:val="22"/>
                <w:szCs w:val="22"/>
              </w:rPr>
              <w:t>EEF +5 months of progress</w:t>
            </w:r>
            <w:r>
              <w:rPr>
                <w:rFonts w:cs="Arial"/>
                <w:color w:val="auto"/>
                <w:sz w:val="22"/>
                <w:szCs w:val="22"/>
              </w:rPr>
              <w:t>)</w:t>
            </w:r>
          </w:p>
          <w:p w14:paraId="59F52508" w14:textId="77777777" w:rsidR="00A165D2" w:rsidRPr="00BE57AC" w:rsidRDefault="00A165D2" w:rsidP="00A165D2">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Use of digital technology</w:t>
            </w:r>
            <w:r>
              <w:rPr>
                <w:rFonts w:cs="Arial"/>
                <w:color w:val="auto"/>
                <w:sz w:val="22"/>
                <w:szCs w:val="22"/>
              </w:rPr>
              <w:t xml:space="preserve"> (</w:t>
            </w:r>
            <w:r w:rsidRPr="00E052FA">
              <w:rPr>
                <w:rFonts w:cs="Arial"/>
                <w:i/>
                <w:color w:val="auto"/>
                <w:sz w:val="22"/>
                <w:szCs w:val="22"/>
              </w:rPr>
              <w:t>See EEF Guidance report</w:t>
            </w:r>
            <w:r>
              <w:rPr>
                <w:rFonts w:cs="Arial"/>
                <w:color w:val="auto"/>
                <w:sz w:val="22"/>
                <w:szCs w:val="22"/>
              </w:rPr>
              <w:t>)</w:t>
            </w:r>
          </w:p>
          <w:p w14:paraId="2C9A7834" w14:textId="77777777" w:rsidR="00A165D2" w:rsidRPr="00BE57AC" w:rsidRDefault="00A165D2" w:rsidP="00A165D2">
            <w:pPr>
              <w:suppressAutoHyphens w:val="0"/>
              <w:autoSpaceDN/>
              <w:spacing w:after="0" w:line="240" w:lineRule="auto"/>
              <w:rPr>
                <w:rFonts w:cs="Arial"/>
                <w:color w:val="auto"/>
                <w:sz w:val="22"/>
                <w:szCs w:val="22"/>
              </w:rPr>
            </w:pPr>
          </w:p>
          <w:p w14:paraId="2A7D54E9" w14:textId="3D0223A1" w:rsidR="00E66558" w:rsidRDefault="00A165D2" w:rsidP="00A165D2">
            <w:pPr>
              <w:pStyle w:val="ListParagraph"/>
              <w:numPr>
                <w:ilvl w:val="0"/>
                <w:numId w:val="13"/>
              </w:numPr>
              <w:rPr>
                <w:i/>
                <w:iCs/>
              </w:rPr>
            </w:pPr>
            <w:r w:rsidRPr="00BE57AC">
              <w:rPr>
                <w:rFonts w:cs="Arial"/>
                <w:color w:val="auto"/>
                <w:sz w:val="22"/>
                <w:szCs w:val="22"/>
              </w:rPr>
              <w:t xml:space="preserve">The above list is not exhaustive. Other relevant areas of the EEF toolkit are referenced accordingly throughout this document if they link </w:t>
            </w:r>
            <w:proofErr w:type="gramStart"/>
            <w:r w:rsidRPr="00BE57AC">
              <w:rPr>
                <w:rFonts w:cs="Arial"/>
                <w:color w:val="auto"/>
                <w:sz w:val="22"/>
                <w:szCs w:val="22"/>
              </w:rPr>
              <w:t>in to</w:t>
            </w:r>
            <w:proofErr w:type="gramEnd"/>
            <w:r w:rsidRPr="00BE57AC">
              <w:rPr>
                <w:rFonts w:cs="Arial"/>
                <w:color w:val="auto"/>
                <w:sz w:val="22"/>
                <w:szCs w:val="22"/>
              </w:rPr>
              <w:t xml:space="preserve"> the establishment of High Quality Teaching at SMCA.</w:t>
            </w:r>
            <w:r>
              <w:rPr>
                <w:rFonts w:cs="Arial"/>
                <w:color w:val="auto"/>
                <w:sz w:val="22"/>
                <w:szCs w:val="22"/>
              </w:rPr>
              <w:t xml:space="preserve"> An example of this would be investment in EYFS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B3972F5" w:rsidR="00E66558" w:rsidRDefault="00A165D2">
            <w:pPr>
              <w:pStyle w:val="TableRowCentered"/>
              <w:jc w:val="left"/>
            </w:pPr>
            <w:r>
              <w:rPr>
                <w:b/>
                <w:iCs/>
                <w:sz w:val="22"/>
                <w:szCs w:val="22"/>
              </w:rPr>
              <w:t>Language Acquisition/</w:t>
            </w:r>
            <w:r w:rsidRPr="0053518A">
              <w:rPr>
                <w:b/>
                <w:iCs/>
                <w:sz w:val="22"/>
                <w:szCs w:val="22"/>
              </w:rPr>
              <w:t>Oracy:</w:t>
            </w:r>
            <w:r>
              <w:rPr>
                <w:iCs/>
                <w:sz w:val="22"/>
                <w:szCs w:val="22"/>
              </w:rPr>
              <w:t xml:space="preserve"> Nationally, there is a recognised gap in the knowledge and use of language between disadvantaged children and their peers, and this grows over time. Early language acquisition is essential if children are to be able to fully engage with the curriculum and apply their learning across a wide range of areas.</w:t>
            </w:r>
          </w:p>
        </w:tc>
      </w:tr>
      <w:tr w:rsidR="00A165D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165D2" w:rsidRDefault="00A165D2" w:rsidP="00A165D2">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764D7C3" w:rsidR="00A165D2" w:rsidRDefault="00A165D2" w:rsidP="00A165D2">
            <w:pPr>
              <w:pStyle w:val="TableRowCentered"/>
              <w:jc w:val="left"/>
              <w:rPr>
                <w:sz w:val="22"/>
                <w:szCs w:val="22"/>
              </w:rPr>
            </w:pPr>
            <w:r>
              <w:rPr>
                <w:b/>
                <w:sz w:val="22"/>
                <w:szCs w:val="22"/>
              </w:rPr>
              <w:t xml:space="preserve">Maths: </w:t>
            </w:r>
            <w:r>
              <w:rPr>
                <w:sz w:val="22"/>
                <w:szCs w:val="22"/>
              </w:rPr>
              <w:t>Along with early language acquisition, it is important that children develop the necessary levels of fluency (appropriate to age) in number, counting and mental/written arithmetic to then be able to build upon this by learning to use and apply wider mathematical concepts.</w:t>
            </w:r>
          </w:p>
        </w:tc>
      </w:tr>
      <w:tr w:rsidR="00A165D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165D2" w:rsidRDefault="00A165D2" w:rsidP="00A165D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933BF0E" w:rsidR="00A165D2" w:rsidRDefault="00A165D2" w:rsidP="00A165D2">
            <w:pPr>
              <w:pStyle w:val="TableRowCentered"/>
              <w:jc w:val="left"/>
              <w:rPr>
                <w:sz w:val="22"/>
                <w:szCs w:val="22"/>
              </w:rPr>
            </w:pPr>
            <w:r w:rsidRPr="00BA419E">
              <w:rPr>
                <w:b/>
                <w:sz w:val="22"/>
                <w:szCs w:val="22"/>
              </w:rPr>
              <w:t>Reading and Writing:</w:t>
            </w:r>
            <w:r>
              <w:rPr>
                <w:sz w:val="22"/>
                <w:szCs w:val="22"/>
              </w:rPr>
              <w:t xml:space="preserve"> </w:t>
            </w:r>
            <w:r w:rsidRPr="00CC20A1">
              <w:rPr>
                <w:sz w:val="22"/>
                <w:szCs w:val="22"/>
              </w:rPr>
              <w:t>Reading and writing are life skills and act as a gateway to further learning. We need to build on the good work already done by the school in teaching phonics and</w:t>
            </w:r>
            <w:r>
              <w:rPr>
                <w:b/>
                <w:sz w:val="22"/>
                <w:szCs w:val="22"/>
              </w:rPr>
              <w:t xml:space="preserve"> </w:t>
            </w:r>
            <w:r w:rsidRPr="0053518A">
              <w:rPr>
                <w:sz w:val="22"/>
                <w:szCs w:val="22"/>
              </w:rPr>
              <w:t>encourage children to read widely and often, and to communicate confidently in writing in all curriculum areas.</w:t>
            </w:r>
          </w:p>
        </w:tc>
      </w:tr>
      <w:tr w:rsidR="00A165D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A165D2" w:rsidRDefault="00A165D2" w:rsidP="00A165D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123F65" w:rsidR="00A165D2" w:rsidRDefault="00A165D2" w:rsidP="00A165D2">
            <w:pPr>
              <w:pStyle w:val="TableRowCentered"/>
              <w:jc w:val="left"/>
              <w:rPr>
                <w:iCs/>
                <w:sz w:val="22"/>
              </w:rPr>
            </w:pPr>
            <w:r>
              <w:rPr>
                <w:b/>
                <w:iCs/>
                <w:sz w:val="22"/>
              </w:rPr>
              <w:t xml:space="preserve">Learning Behaviours: </w:t>
            </w:r>
            <w:r>
              <w:rPr>
                <w:iCs/>
                <w:sz w:val="22"/>
              </w:rPr>
              <w:t xml:space="preserve">A key area where our pupils need to develop is </w:t>
            </w:r>
            <w:proofErr w:type="gramStart"/>
            <w:r>
              <w:rPr>
                <w:iCs/>
                <w:sz w:val="22"/>
              </w:rPr>
              <w:t>with regard to</w:t>
            </w:r>
            <w:proofErr w:type="gramEnd"/>
            <w:r>
              <w:rPr>
                <w:iCs/>
                <w:sz w:val="22"/>
              </w:rPr>
              <w:t xml:space="preserve"> their </w:t>
            </w:r>
            <w:r w:rsidRPr="00CC20A1">
              <w:rPr>
                <w:i/>
                <w:iCs/>
                <w:sz w:val="22"/>
              </w:rPr>
              <w:t>motivation</w:t>
            </w:r>
            <w:r>
              <w:rPr>
                <w:iCs/>
                <w:sz w:val="22"/>
              </w:rPr>
              <w:t xml:space="preserve"> to learn. This </w:t>
            </w:r>
            <w:proofErr w:type="gramStart"/>
            <w:r>
              <w:rPr>
                <w:iCs/>
                <w:sz w:val="22"/>
              </w:rPr>
              <w:t>encompasses:</w:t>
            </w:r>
            <w:proofErr w:type="gramEnd"/>
            <w:r>
              <w:rPr>
                <w:iCs/>
                <w:sz w:val="22"/>
              </w:rPr>
              <w:t xml:space="preserve"> attitudes to learning, metacognition, behaviour and self-regulation, and the ability to work collaboratively with others. We also believe that the work that the school does on SMSC (Spiritual, Moral, Social, Cultural) has a significant impact on this aspect.</w:t>
            </w:r>
          </w:p>
        </w:tc>
      </w:tr>
      <w:tr w:rsidR="00A165D2"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165D2" w:rsidRDefault="00A165D2" w:rsidP="00A165D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DD8EE1" w:rsidR="00A165D2" w:rsidRDefault="00A165D2" w:rsidP="00A165D2">
            <w:pPr>
              <w:pStyle w:val="TableRowCentered"/>
              <w:jc w:val="left"/>
              <w:rPr>
                <w:iCs/>
                <w:sz w:val="22"/>
              </w:rPr>
            </w:pPr>
            <w:r w:rsidRPr="00CC20A1">
              <w:rPr>
                <w:b/>
                <w:iCs/>
                <w:sz w:val="22"/>
              </w:rPr>
              <w:t>Attendance.</w:t>
            </w:r>
            <w:r>
              <w:rPr>
                <w:iCs/>
                <w:sz w:val="22"/>
              </w:rPr>
              <w:t xml:space="preserve"> Attendance at the school is too low amongst our disadvantaged pupils. If children are not in school, they are not learning. </w:t>
            </w:r>
          </w:p>
        </w:tc>
      </w:tr>
    </w:tbl>
    <w:p w14:paraId="2A7D54FF" w14:textId="77777777" w:rsidR="00E66558" w:rsidRDefault="009D71E8">
      <w:pPr>
        <w:pStyle w:val="Heading2"/>
        <w:spacing w:before="600"/>
      </w:pPr>
      <w:bookmarkStart w:id="18" w:name="_Toc443397160"/>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4632E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CD31BE7" w:rsidR="004632EC" w:rsidRDefault="004632EC" w:rsidP="004632EC">
            <w:pPr>
              <w:pStyle w:val="TableRow"/>
            </w:pPr>
            <w:r w:rsidRPr="000425DE">
              <w:t>Improved levels of Oracy and Language acquisition in all year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72F9BC8" w:rsidR="004632EC" w:rsidRDefault="004632EC" w:rsidP="004632EC">
            <w:pPr>
              <w:pStyle w:val="TableRowCentered"/>
              <w:jc w:val="left"/>
              <w:rPr>
                <w:sz w:val="22"/>
                <w:szCs w:val="22"/>
              </w:rPr>
            </w:pPr>
            <w:r w:rsidRPr="000425DE">
              <w:t xml:space="preserve">We will implement the </w:t>
            </w:r>
            <w:proofErr w:type="spellStart"/>
            <w:r w:rsidR="002F4242">
              <w:t>Talkboost</w:t>
            </w:r>
            <w:proofErr w:type="spellEnd"/>
            <w:r w:rsidRPr="000425DE">
              <w:t xml:space="preserve"> programme in all year groups from Nursery upwards </w:t>
            </w:r>
            <w:proofErr w:type="gramStart"/>
            <w:r w:rsidRPr="000425DE">
              <w:t>in order to</w:t>
            </w:r>
            <w:proofErr w:type="gramEnd"/>
            <w:r w:rsidRPr="000425DE">
              <w:t xml:space="preserve"> boost the acquisition and use of oral language in class and in everyday situations. Evaluations of learning and formative assessment carried out by staff in each phase will show that pupils’ language skills are improving over time. This will also become evident in written work.</w:t>
            </w:r>
          </w:p>
        </w:tc>
      </w:tr>
      <w:tr w:rsidR="004632EC"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E924F3B" w:rsidR="004632EC" w:rsidRDefault="004632EC" w:rsidP="004632EC">
            <w:pPr>
              <w:pStyle w:val="TableRow"/>
              <w:rPr>
                <w:sz w:val="22"/>
                <w:szCs w:val="22"/>
              </w:rPr>
            </w:pPr>
            <w:r w:rsidRPr="000425DE">
              <w:t>Improved basic skills and fluency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B4D894E" w:rsidR="004632EC" w:rsidRDefault="004632EC" w:rsidP="004632EC">
            <w:pPr>
              <w:pStyle w:val="TableRowCentered"/>
              <w:jc w:val="left"/>
              <w:rPr>
                <w:sz w:val="22"/>
                <w:szCs w:val="22"/>
              </w:rPr>
            </w:pPr>
            <w:r w:rsidRPr="000425DE">
              <w:t>Evaluations of learning and formative/summative assessments will indicate that pupils will show age-appropriate fluency in times tables/division facts, the number system, counting and number bonds. Pupil data will show that maths attainment for all groups of pupils, including disadvantaged children, will improve from September baseline in July 202</w:t>
            </w:r>
            <w:r w:rsidR="003954FA">
              <w:t>5</w:t>
            </w:r>
            <w:r w:rsidRPr="000425DE">
              <w:t>.</w:t>
            </w:r>
          </w:p>
        </w:tc>
      </w:tr>
      <w:tr w:rsidR="004632E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79C043" w:rsidR="004632EC" w:rsidRDefault="004632EC" w:rsidP="004632EC">
            <w:pPr>
              <w:pStyle w:val="TableRow"/>
              <w:rPr>
                <w:sz w:val="22"/>
                <w:szCs w:val="22"/>
              </w:rPr>
            </w:pPr>
            <w:r w:rsidRPr="000425DE">
              <w:t>Improved basic skills/fluency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6917E73" w:rsidR="004632EC" w:rsidRDefault="004632EC" w:rsidP="004632EC">
            <w:pPr>
              <w:pStyle w:val="TableRowCentered"/>
              <w:jc w:val="left"/>
              <w:rPr>
                <w:sz w:val="22"/>
                <w:szCs w:val="22"/>
              </w:rPr>
            </w:pPr>
            <w:r w:rsidRPr="000425DE">
              <w:t xml:space="preserve">Evaluations of learning and formative/summative assessments will show that attainment in Reading and Writing for all groups of pupils, including disadvantaged children, will improve </w:t>
            </w:r>
            <w:r w:rsidRPr="000425DE">
              <w:lastRenderedPageBreak/>
              <w:t>from September baseline in July 202</w:t>
            </w:r>
            <w:r w:rsidR="003954FA">
              <w:t>5</w:t>
            </w:r>
            <w:r w:rsidRPr="000425DE">
              <w:t>. This rise in attainment will also be evident in written work and pupil surveys.</w:t>
            </w:r>
          </w:p>
        </w:tc>
      </w:tr>
      <w:tr w:rsidR="004632EC" w14:paraId="2A7D550F" w14:textId="77777777" w:rsidTr="004632EC">
        <w:trPr>
          <w:trHeight w:val="660"/>
        </w:trPr>
        <w:tc>
          <w:tcPr>
            <w:tcW w:w="48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0D" w14:textId="56A0223D" w:rsidR="004632EC" w:rsidRDefault="004632EC" w:rsidP="004632EC">
            <w:pPr>
              <w:pStyle w:val="TableRow"/>
              <w:rPr>
                <w:sz w:val="22"/>
                <w:szCs w:val="22"/>
              </w:rPr>
            </w:pPr>
            <w:r w:rsidRPr="003E2D4E">
              <w:rPr>
                <w:b/>
                <w:iCs/>
                <w:sz w:val="22"/>
              </w:rPr>
              <w:lastRenderedPageBreak/>
              <w:t>Improve</w:t>
            </w:r>
            <w:r>
              <w:rPr>
                <w:b/>
                <w:iCs/>
                <w:sz w:val="22"/>
              </w:rPr>
              <w:t>d</w:t>
            </w:r>
            <w:r w:rsidRPr="003E2D4E">
              <w:rPr>
                <w:b/>
                <w:iCs/>
                <w:sz w:val="22"/>
              </w:rPr>
              <w:t xml:space="preserve"> engagement with learning</w:t>
            </w:r>
          </w:p>
        </w:tc>
        <w:tc>
          <w:tcPr>
            <w:tcW w:w="4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4E70B9" w14:textId="77777777" w:rsidR="004632EC" w:rsidRDefault="004632EC" w:rsidP="004632EC">
            <w:pPr>
              <w:pStyle w:val="TableRowCentered"/>
              <w:jc w:val="left"/>
              <w:rPr>
                <w:color w:val="000000"/>
                <w:sz w:val="22"/>
                <w:szCs w:val="22"/>
              </w:rPr>
            </w:pPr>
            <w:r w:rsidRPr="004925DA">
              <w:rPr>
                <w:color w:val="000000"/>
                <w:sz w:val="22"/>
                <w:szCs w:val="22"/>
              </w:rPr>
              <w:t xml:space="preserve">Sustained levels of </w:t>
            </w:r>
            <w:r>
              <w:rPr>
                <w:color w:val="000000"/>
                <w:sz w:val="22"/>
                <w:szCs w:val="22"/>
              </w:rPr>
              <w:t>positive engagement with learning in all cohorts, demon</w:t>
            </w:r>
            <w:r w:rsidRPr="004925DA">
              <w:rPr>
                <w:color w:val="000000"/>
                <w:sz w:val="22"/>
                <w:szCs w:val="22"/>
              </w:rPr>
              <w:t xml:space="preserve">strated by: </w:t>
            </w:r>
          </w:p>
          <w:p w14:paraId="54475EFE" w14:textId="77777777" w:rsidR="004632EC" w:rsidRDefault="004632EC" w:rsidP="004632EC">
            <w:pPr>
              <w:pStyle w:val="TableRowCentered"/>
              <w:jc w:val="left"/>
              <w:rPr>
                <w:color w:val="000000"/>
                <w:sz w:val="22"/>
                <w:szCs w:val="22"/>
              </w:rPr>
            </w:pPr>
            <w:r>
              <w:rPr>
                <w:color w:val="000000"/>
                <w:sz w:val="22"/>
                <w:szCs w:val="22"/>
              </w:rPr>
              <w:t>- Feedback from</w:t>
            </w:r>
            <w:r w:rsidRPr="004925DA">
              <w:rPr>
                <w:color w:val="000000"/>
                <w:sz w:val="22"/>
                <w:szCs w:val="22"/>
              </w:rPr>
              <w:t xml:space="preserve"> </w:t>
            </w:r>
            <w:r>
              <w:rPr>
                <w:color w:val="000000"/>
                <w:sz w:val="22"/>
                <w:szCs w:val="22"/>
              </w:rPr>
              <w:t>pupil/parent surveys</w:t>
            </w:r>
            <w:r w:rsidRPr="004925DA">
              <w:rPr>
                <w:color w:val="000000"/>
                <w:sz w:val="22"/>
                <w:szCs w:val="22"/>
              </w:rPr>
              <w:t xml:space="preserve"> </w:t>
            </w:r>
          </w:p>
          <w:p w14:paraId="511424CB" w14:textId="77777777" w:rsidR="004632EC" w:rsidRDefault="004632EC" w:rsidP="004632EC">
            <w:pPr>
              <w:pStyle w:val="TableRowCentered"/>
              <w:jc w:val="left"/>
              <w:rPr>
                <w:color w:val="000000"/>
                <w:sz w:val="22"/>
                <w:szCs w:val="22"/>
              </w:rPr>
            </w:pPr>
            <w:r>
              <w:rPr>
                <w:color w:val="000000"/>
                <w:sz w:val="22"/>
                <w:szCs w:val="22"/>
              </w:rPr>
              <w:t>- T</w:t>
            </w:r>
            <w:r w:rsidRPr="004925DA">
              <w:rPr>
                <w:color w:val="000000"/>
                <w:sz w:val="22"/>
                <w:szCs w:val="22"/>
              </w:rPr>
              <w:t xml:space="preserve">eacher </w:t>
            </w:r>
            <w:r>
              <w:rPr>
                <w:color w:val="000000"/>
                <w:sz w:val="22"/>
                <w:szCs w:val="22"/>
              </w:rPr>
              <w:t>feedback</w:t>
            </w:r>
            <w:r w:rsidRPr="004925DA">
              <w:rPr>
                <w:color w:val="000000"/>
                <w:sz w:val="22"/>
                <w:szCs w:val="22"/>
              </w:rPr>
              <w:t xml:space="preserve"> </w:t>
            </w:r>
          </w:p>
          <w:p w14:paraId="0CD45684" w14:textId="77777777" w:rsidR="004632EC" w:rsidRDefault="004632EC" w:rsidP="004632EC">
            <w:pPr>
              <w:pStyle w:val="TableRowCentered"/>
              <w:ind w:left="169"/>
              <w:jc w:val="left"/>
              <w:rPr>
                <w:color w:val="000000"/>
                <w:sz w:val="22"/>
                <w:szCs w:val="22"/>
              </w:rPr>
            </w:pPr>
            <w:r>
              <w:rPr>
                <w:color w:val="000000"/>
                <w:sz w:val="22"/>
                <w:szCs w:val="22"/>
              </w:rPr>
              <w:t>- Observed positive learning behaviours/engagement apparent from lesson visits</w:t>
            </w:r>
          </w:p>
          <w:p w14:paraId="4907C677" w14:textId="77777777" w:rsidR="004632EC" w:rsidRDefault="004632EC" w:rsidP="004632EC">
            <w:pPr>
              <w:pStyle w:val="TableRowCentered"/>
              <w:ind w:left="169"/>
              <w:jc w:val="left"/>
              <w:rPr>
                <w:color w:val="000000"/>
                <w:sz w:val="22"/>
                <w:szCs w:val="22"/>
              </w:rPr>
            </w:pPr>
            <w:r>
              <w:rPr>
                <w:color w:val="000000"/>
                <w:sz w:val="22"/>
                <w:szCs w:val="22"/>
              </w:rPr>
              <w:t>- Co-operative learning being a feature of all lessons</w:t>
            </w:r>
          </w:p>
          <w:p w14:paraId="4A55AC21" w14:textId="77777777" w:rsidR="004632EC" w:rsidRDefault="004632EC" w:rsidP="004632EC">
            <w:pPr>
              <w:pStyle w:val="TableRowCentered"/>
              <w:ind w:left="169"/>
              <w:jc w:val="left"/>
              <w:rPr>
                <w:color w:val="000000"/>
                <w:sz w:val="22"/>
                <w:szCs w:val="22"/>
              </w:rPr>
            </w:pPr>
            <w:r>
              <w:rPr>
                <w:color w:val="000000"/>
                <w:sz w:val="22"/>
                <w:szCs w:val="22"/>
              </w:rPr>
              <w:t>- Effective metacognition strategies being used in all lessons</w:t>
            </w:r>
          </w:p>
          <w:p w14:paraId="2A7D550E" w14:textId="19D46D65" w:rsidR="004632EC" w:rsidRDefault="004632EC" w:rsidP="004632EC">
            <w:pPr>
              <w:pStyle w:val="TableRowCentered"/>
              <w:jc w:val="left"/>
              <w:rPr>
                <w:sz w:val="22"/>
                <w:szCs w:val="22"/>
              </w:rPr>
            </w:pPr>
            <w:r>
              <w:rPr>
                <w:color w:val="000000"/>
                <w:sz w:val="22"/>
                <w:szCs w:val="22"/>
              </w:rPr>
              <w:t>- Improved attainment as shown in pupil data by July 202</w:t>
            </w:r>
            <w:r w:rsidR="003954FA">
              <w:rPr>
                <w:color w:val="000000"/>
                <w:sz w:val="22"/>
                <w:szCs w:val="22"/>
              </w:rPr>
              <w:t>5</w:t>
            </w:r>
            <w:r>
              <w:rPr>
                <w:color w:val="000000"/>
                <w:sz w:val="22"/>
                <w:szCs w:val="22"/>
              </w:rPr>
              <w:t>, when compared to Sept baseline.</w:t>
            </w:r>
          </w:p>
        </w:tc>
      </w:tr>
      <w:tr w:rsidR="004632EC" w14:paraId="4B0199B2" w14:textId="77777777" w:rsidTr="004632EC">
        <w:trPr>
          <w:trHeight w:val="975"/>
        </w:trPr>
        <w:tc>
          <w:tcPr>
            <w:tcW w:w="48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04D8" w14:textId="07BA4E09" w:rsidR="004632EC" w:rsidRDefault="004632EC" w:rsidP="004632EC">
            <w:pPr>
              <w:pStyle w:val="TableRow"/>
              <w:rPr>
                <w:sz w:val="22"/>
                <w:szCs w:val="22"/>
              </w:rPr>
            </w:pPr>
            <w:r w:rsidRPr="0053518A">
              <w:rPr>
                <w:b/>
                <w:sz w:val="22"/>
                <w:szCs w:val="22"/>
              </w:rPr>
              <w:t>Improved attendance</w:t>
            </w: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D79D" w14:textId="481B4389" w:rsidR="004632EC" w:rsidRDefault="004632EC" w:rsidP="004632EC">
            <w:pPr>
              <w:pStyle w:val="TableRowCentered"/>
              <w:jc w:val="left"/>
              <w:rPr>
                <w:sz w:val="22"/>
                <w:szCs w:val="22"/>
              </w:rPr>
            </w:pPr>
            <w:r>
              <w:rPr>
                <w:sz w:val="22"/>
                <w:szCs w:val="22"/>
              </w:rPr>
              <w:t>Attendance for in the 23-24 academic year</w:t>
            </w:r>
            <w:r w:rsidR="003954FA">
              <w:rPr>
                <w:sz w:val="22"/>
                <w:szCs w:val="22"/>
              </w:rPr>
              <w:t>, and again in the 24-25 academic year,</w:t>
            </w:r>
            <w:r>
              <w:rPr>
                <w:sz w:val="22"/>
                <w:szCs w:val="22"/>
              </w:rPr>
              <w:t xml:space="preserve"> will improve on equivalent periods from 22-23 academic year. As part of this </w:t>
            </w:r>
            <w:proofErr w:type="gramStart"/>
            <w:r>
              <w:rPr>
                <w:sz w:val="22"/>
                <w:szCs w:val="22"/>
              </w:rPr>
              <w:t>aim</w:t>
            </w:r>
            <w:proofErr w:type="gramEnd"/>
            <w:r>
              <w:rPr>
                <w:sz w:val="22"/>
                <w:szCs w:val="22"/>
              </w:rPr>
              <w:t xml:space="preserve"> we will also endeavour to maximise the effectiveness of our engagement with targeted families.</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0FE876F" w:rsidR="00E66558" w:rsidRDefault="009D71E8">
      <w:r>
        <w:t xml:space="preserve">Budgeted cost: £ </w:t>
      </w:r>
      <w:r w:rsidR="00DC6ADA">
        <w:rPr>
          <w:i/>
          <w:iCs/>
        </w:rPr>
        <w:t>1</w:t>
      </w:r>
      <w:r w:rsidR="00DD7E94">
        <w:rPr>
          <w:i/>
          <w:iCs/>
        </w:rPr>
        <w:t>42</w:t>
      </w:r>
      <w:r w:rsidR="00DC6ADA">
        <w:rPr>
          <w:i/>
          <w:iCs/>
        </w:rPr>
        <w:t>,159.00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632EC" w14:paraId="2A7D5521" w14:textId="77777777" w:rsidTr="004632EC">
        <w:trPr>
          <w:trHeight w:val="382"/>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E" w14:textId="4348F5C4" w:rsidR="004632EC" w:rsidRDefault="004632EC" w:rsidP="004632EC">
            <w:pPr>
              <w:pStyle w:val="TableRow"/>
              <w:rPr>
                <w:i/>
                <w:sz w:val="22"/>
              </w:rPr>
            </w:pPr>
            <w:r w:rsidRPr="003E029D">
              <w:rPr>
                <w:b/>
                <w:iCs/>
                <w:sz w:val="22"/>
                <w:szCs w:val="22"/>
              </w:rPr>
              <w:t xml:space="preserve">Additional </w:t>
            </w:r>
            <w:r>
              <w:rPr>
                <w:b/>
                <w:iCs/>
                <w:sz w:val="22"/>
                <w:szCs w:val="22"/>
              </w:rPr>
              <w:t>teaching staff in UKS2, LKS2 and KS1</w:t>
            </w:r>
            <w:r w:rsidRPr="003E029D">
              <w:rPr>
                <w:b/>
                <w:iCs/>
                <w:sz w:val="22"/>
                <w:szCs w:val="22"/>
              </w:rPr>
              <w:t xml:space="preserve"> </w:t>
            </w:r>
            <w:r>
              <w:rPr>
                <w:b/>
                <w:iCs/>
                <w:sz w:val="22"/>
                <w:szCs w:val="22"/>
              </w:rPr>
              <w:t xml:space="preserve">to boost pupil achievement </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F" w14:textId="0D008338" w:rsidR="004632EC" w:rsidRDefault="004632EC" w:rsidP="004632EC">
            <w:pPr>
              <w:pStyle w:val="TableRowCentered"/>
              <w:jc w:val="left"/>
              <w:rPr>
                <w:sz w:val="22"/>
              </w:rPr>
            </w:pPr>
            <w:r w:rsidRPr="00E052FA">
              <w:rPr>
                <w:b/>
                <w:sz w:val="22"/>
              </w:rPr>
              <w:t>EEF Teaching and Learning Toolkit:</w:t>
            </w:r>
            <w:r>
              <w:rPr>
                <w:sz w:val="22"/>
              </w:rPr>
              <w:t xml:space="preserve"> Additional teacher to be used to support 5 school drivers (see above) in Y2</w:t>
            </w: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0" w14:textId="67B6B483" w:rsidR="004632EC" w:rsidRDefault="004632EC" w:rsidP="004632EC">
            <w:pPr>
              <w:pStyle w:val="TableRowCentered"/>
              <w:jc w:val="left"/>
              <w:rPr>
                <w:sz w:val="22"/>
              </w:rPr>
            </w:pPr>
            <w:r>
              <w:rPr>
                <w:sz w:val="22"/>
              </w:rPr>
              <w:t>1,2,3 and 4</w:t>
            </w:r>
          </w:p>
        </w:tc>
      </w:tr>
      <w:tr w:rsidR="004632EC" w14:paraId="445010F1" w14:textId="77777777" w:rsidTr="004632EC">
        <w:trPr>
          <w:trHeight w:val="195"/>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7A983E" w14:textId="7DCD12AD" w:rsidR="004632EC" w:rsidRDefault="004632EC" w:rsidP="004632EC">
            <w:pPr>
              <w:pStyle w:val="TableRow"/>
              <w:rPr>
                <w:i/>
                <w:sz w:val="22"/>
              </w:rPr>
            </w:pPr>
            <w:r w:rsidRPr="003E029D">
              <w:rPr>
                <w:b/>
                <w:sz w:val="22"/>
              </w:rPr>
              <w:t>EYFS Investment</w:t>
            </w: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52F5714" w14:textId="3F526F68" w:rsidR="004632EC" w:rsidRDefault="004632EC" w:rsidP="004632EC">
            <w:pPr>
              <w:pStyle w:val="TableRowCentered"/>
              <w:jc w:val="left"/>
              <w:rPr>
                <w:sz w:val="22"/>
              </w:rPr>
            </w:pPr>
            <w:r>
              <w:rPr>
                <w:sz w:val="22"/>
              </w:rPr>
              <w:t xml:space="preserve">See </w:t>
            </w:r>
            <w:r w:rsidRPr="00A63844">
              <w:rPr>
                <w:b/>
                <w:sz w:val="22"/>
              </w:rPr>
              <w:t>EEF Early Years toolkit</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2C589B" w14:textId="5888CCA9" w:rsidR="004632EC" w:rsidRDefault="004632EC" w:rsidP="004632EC">
            <w:pPr>
              <w:pStyle w:val="TableRowCentered"/>
              <w:jc w:val="left"/>
              <w:rPr>
                <w:sz w:val="22"/>
              </w:rPr>
            </w:pPr>
            <w:r>
              <w:rPr>
                <w:sz w:val="22"/>
              </w:rPr>
              <w:t>1,2,3 and 4</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5B42DE00" w:rsidR="00E66558" w:rsidRDefault="009D71E8">
      <w:r>
        <w:t xml:space="preserve">Budgeted cost: £ </w:t>
      </w:r>
      <w:r w:rsidR="00AA427E">
        <w:rPr>
          <w:i/>
          <w:iCs/>
        </w:rPr>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7292ABD" w:rsidR="00E66558" w:rsidRDefault="00DC6ADA">
            <w:pPr>
              <w:pStyle w:val="TableRow"/>
            </w:pPr>
            <w:r>
              <w:rPr>
                <w:i/>
                <w:iCs/>
                <w:sz w:val="22"/>
                <w:szCs w:val="22"/>
              </w:rPr>
              <w:t xml:space="preserve">Catch-up </w:t>
            </w:r>
            <w:proofErr w:type="spellStart"/>
            <w:r>
              <w:rPr>
                <w:i/>
                <w:iCs/>
                <w:sz w:val="22"/>
                <w:szCs w:val="22"/>
              </w:rPr>
              <w:t>Tut</w:t>
            </w:r>
            <w:r w:rsidR="00E20847">
              <w:rPr>
                <w:i/>
                <w:iCs/>
                <w:sz w:val="22"/>
                <w:szCs w:val="22"/>
              </w:rPr>
              <w:t>ion</w:t>
            </w:r>
            <w:proofErr w:type="spellEnd"/>
            <w:r>
              <w:rPr>
                <w:i/>
                <w:iCs/>
                <w:sz w:val="22"/>
                <w:szCs w:val="22"/>
              </w:rPr>
              <w:t xml:space="preserve"> in UKS2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E17E352" w:rsidR="00E66558" w:rsidRDefault="00AA427E">
            <w:pPr>
              <w:pStyle w:val="TableRowCentered"/>
              <w:jc w:val="left"/>
              <w:rPr>
                <w:sz w:val="22"/>
              </w:rPr>
            </w:pPr>
            <w:r>
              <w:rPr>
                <w:sz w:val="22"/>
              </w:rPr>
              <w:t>Children fell behind with their learning during the Pandemic. Targeted small group tuition can help them to make up for lost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73A641D" w:rsidR="00E66558" w:rsidRDefault="00AA427E">
            <w:pPr>
              <w:pStyle w:val="TableRowCentered"/>
              <w:jc w:val="left"/>
              <w:rPr>
                <w:sz w:val="22"/>
              </w:rPr>
            </w:pPr>
            <w:r>
              <w:rPr>
                <w:sz w:val="22"/>
              </w:rPr>
              <w:t>2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428A9B6" w:rsidR="00E66558" w:rsidRDefault="009D71E8">
      <w:pPr>
        <w:spacing w:before="240" w:after="120"/>
      </w:pPr>
      <w:r>
        <w:t xml:space="preserve">Budgeted cost: £ </w:t>
      </w:r>
      <w:r w:rsidR="00DD7E94">
        <w:rPr>
          <w:i/>
          <w:iCs/>
        </w:rPr>
        <w:t>130,275.00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20847" w14:paraId="2A7D553B" w14:textId="77777777" w:rsidTr="00742881">
        <w:trPr>
          <w:trHeight w:val="1170"/>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8" w14:textId="56F1DFBA" w:rsidR="00E20847" w:rsidRDefault="00E20847" w:rsidP="00E20847">
            <w:pPr>
              <w:pStyle w:val="TableRow"/>
            </w:pPr>
            <w:r w:rsidRPr="003E029D">
              <w:rPr>
                <w:b/>
                <w:iCs/>
                <w:sz w:val="22"/>
                <w:szCs w:val="22"/>
              </w:rPr>
              <w:t>Family Support/safeguarding worker</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9" w14:textId="1820B91E" w:rsidR="00E20847" w:rsidRDefault="00E20847" w:rsidP="00E20847">
            <w:pPr>
              <w:pStyle w:val="TableRowCentered"/>
              <w:jc w:val="left"/>
              <w:rPr>
                <w:sz w:val="22"/>
              </w:rPr>
            </w:pPr>
            <w:r>
              <w:rPr>
                <w:sz w:val="22"/>
              </w:rPr>
              <w:t xml:space="preserve">See </w:t>
            </w:r>
            <w:r w:rsidRPr="00330A1E">
              <w:rPr>
                <w:b/>
                <w:sz w:val="22"/>
              </w:rPr>
              <w:t>EEF toolkit:</w:t>
            </w:r>
            <w:r>
              <w:rPr>
                <w:sz w:val="22"/>
              </w:rPr>
              <w:t xml:space="preserve"> </w:t>
            </w:r>
            <w:r w:rsidRPr="00330A1E">
              <w:rPr>
                <w:i/>
                <w:sz w:val="22"/>
              </w:rPr>
              <w:t>Parental Engagement</w:t>
            </w:r>
            <w:r>
              <w:rPr>
                <w:sz w:val="22"/>
              </w:rPr>
              <w:t xml:space="preserve"> (+4 months), </w:t>
            </w:r>
            <w:r w:rsidRPr="00330A1E">
              <w:rPr>
                <w:i/>
                <w:sz w:val="22"/>
              </w:rPr>
              <w:t>Social &amp; Emotional Learning</w:t>
            </w:r>
            <w:r>
              <w:rPr>
                <w:sz w:val="22"/>
              </w:rPr>
              <w:t xml:space="preserve"> (+4 months)</w:t>
            </w: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A" w14:textId="3A6A5F82" w:rsidR="00E20847" w:rsidRDefault="00E20847" w:rsidP="00E20847">
            <w:pPr>
              <w:pStyle w:val="TableRowCentered"/>
              <w:jc w:val="left"/>
              <w:rPr>
                <w:sz w:val="22"/>
              </w:rPr>
            </w:pPr>
            <w:r>
              <w:rPr>
                <w:sz w:val="22"/>
              </w:rPr>
              <w:t>4 &amp; 5</w:t>
            </w:r>
          </w:p>
        </w:tc>
      </w:tr>
      <w:tr w:rsidR="00742881" w14:paraId="4C1BE648" w14:textId="77777777" w:rsidTr="00742881">
        <w:trPr>
          <w:trHeight w:val="1085"/>
        </w:trPr>
        <w:tc>
          <w:tcPr>
            <w:tcW w:w="26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E512" w14:textId="50D7C77D" w:rsidR="00742881" w:rsidRPr="003E029D" w:rsidRDefault="00742881" w:rsidP="00E20847">
            <w:pPr>
              <w:pStyle w:val="TableRow"/>
              <w:rPr>
                <w:b/>
                <w:iCs/>
                <w:sz w:val="22"/>
                <w:szCs w:val="22"/>
              </w:rPr>
            </w:pPr>
            <w:r>
              <w:rPr>
                <w:b/>
                <w:iCs/>
                <w:sz w:val="22"/>
                <w:szCs w:val="22"/>
              </w:rPr>
              <w:t>Additional Senior Pastoral Lead to work on Behaviour, SMSC and pupil engagement</w:t>
            </w:r>
          </w:p>
        </w:tc>
        <w:tc>
          <w:tcPr>
            <w:tcW w:w="42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E578" w14:textId="77777777" w:rsidR="00742881" w:rsidRDefault="00742881" w:rsidP="00E20847">
            <w:pPr>
              <w:pStyle w:val="TableRowCentered"/>
              <w:jc w:val="left"/>
              <w:rPr>
                <w:sz w:val="22"/>
              </w:rPr>
            </w:pPr>
          </w:p>
        </w:tc>
        <w:tc>
          <w:tcPr>
            <w:tcW w:w="25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DEDE" w14:textId="77777777" w:rsidR="00742881" w:rsidRDefault="00742881" w:rsidP="00E20847">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B922181" w:rsidR="00E66558" w:rsidRDefault="009D71E8" w:rsidP="00120AB1">
      <w:r>
        <w:rPr>
          <w:b/>
          <w:bCs/>
          <w:color w:val="104F75"/>
          <w:sz w:val="28"/>
          <w:szCs w:val="28"/>
        </w:rPr>
        <w:t xml:space="preserve">Total budgeted cost: £ </w:t>
      </w:r>
      <w:r w:rsidR="00DD7E94">
        <w:rPr>
          <w:i/>
          <w:iCs/>
          <w:color w:val="104F75"/>
          <w:sz w:val="28"/>
          <w:szCs w:val="28"/>
        </w:rPr>
        <w:t>281,434.00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A22FF" w14:textId="01FBB758" w:rsidR="00721B51" w:rsidRPr="00C77FEF" w:rsidRDefault="00721B51" w:rsidP="009B7433">
            <w:pPr>
              <w:rPr>
                <w:i/>
                <w:iCs/>
                <w:color w:val="auto"/>
              </w:rPr>
            </w:pPr>
            <w:r w:rsidRPr="00F4142A">
              <w:rPr>
                <w:i/>
                <w:iCs/>
                <w:color w:val="000000"/>
              </w:rPr>
              <w:t xml:space="preserve">Outline </w:t>
            </w:r>
            <w:r w:rsidR="005F5224" w:rsidRPr="00F4142A">
              <w:rPr>
                <w:i/>
                <w:iCs/>
                <w:color w:val="000000"/>
              </w:rPr>
              <w:t>the performance of your</w:t>
            </w:r>
            <w:r w:rsidRPr="00F4142A">
              <w:rPr>
                <w:i/>
                <w:iCs/>
                <w:color w:val="000000"/>
              </w:rPr>
              <w:t xml:space="preserve"> disadvantaged pupils in the </w:t>
            </w:r>
            <w:r w:rsidR="00A64475" w:rsidRPr="00F4142A">
              <w:rPr>
                <w:i/>
                <w:iCs/>
                <w:color w:val="000000"/>
              </w:rPr>
              <w:t>previous</w:t>
            </w:r>
            <w:r w:rsidRPr="00F4142A">
              <w:rPr>
                <w:i/>
                <w:iCs/>
                <w:color w:val="000000"/>
              </w:rPr>
              <w:t xml:space="preserve"> academic year </w:t>
            </w:r>
            <w:r w:rsidRPr="00C77FEF">
              <w:rPr>
                <w:i/>
                <w:iCs/>
                <w:color w:val="auto"/>
              </w:rPr>
              <w:t xml:space="preserve">and explain how </w:t>
            </w:r>
            <w:r w:rsidR="005F5224" w:rsidRPr="00C77FEF">
              <w:rPr>
                <w:i/>
                <w:iCs/>
                <w:color w:val="auto"/>
              </w:rPr>
              <w:t>it ha</w:t>
            </w:r>
            <w:r w:rsidRPr="00C77FEF">
              <w:rPr>
                <w:i/>
                <w:iCs/>
                <w:color w:val="auto"/>
              </w:rPr>
              <w:t xml:space="preserve">s been assessed. You should </w:t>
            </w:r>
            <w:r w:rsidR="0073481D" w:rsidRPr="00C77FEF">
              <w:rPr>
                <w:i/>
                <w:iCs/>
                <w:color w:val="auto"/>
              </w:rPr>
              <w:t>draw on</w:t>
            </w:r>
            <w:r w:rsidRPr="00C77FEF">
              <w:rPr>
                <w:i/>
                <w:iCs/>
                <w:color w:val="auto"/>
              </w:rPr>
              <w:t>:</w:t>
            </w:r>
          </w:p>
          <w:p w14:paraId="16FD695B" w14:textId="3570967A" w:rsidR="00721B51" w:rsidRDefault="000B6B7D" w:rsidP="00827BDA">
            <w:pPr>
              <w:pStyle w:val="ListParagraph"/>
              <w:numPr>
                <w:ilvl w:val="0"/>
                <w:numId w:val="14"/>
              </w:numPr>
              <w:suppressAutoHyphens w:val="0"/>
              <w:autoSpaceDN/>
              <w:rPr>
                <w:color w:val="auto"/>
              </w:rPr>
            </w:pPr>
            <w:r w:rsidRPr="000B6B7D">
              <w:rPr>
                <w:color w:val="auto"/>
              </w:rPr>
              <w:t>Pupil attainment at the end of KS2 showed an improvement in all Reading, Writing and Maths in 2023. There was also a significant improvement in the percentage of pupils achieving the combined RWM score, rising from 32% in 2022 to 50</w:t>
            </w:r>
            <w:r>
              <w:rPr>
                <w:color w:val="auto"/>
              </w:rPr>
              <w:t>% in 2023</w:t>
            </w:r>
            <w:r w:rsidR="002F4242">
              <w:rPr>
                <w:color w:val="auto"/>
              </w:rPr>
              <w:t xml:space="preserve"> (for the cohort as a whole)</w:t>
            </w:r>
            <w:r>
              <w:rPr>
                <w:color w:val="auto"/>
              </w:rPr>
              <w:t xml:space="preserve"> compared to the national figure of 59%, which had stayed the same. </w:t>
            </w:r>
            <w:r w:rsidR="000A795D">
              <w:rPr>
                <w:color w:val="auto"/>
              </w:rPr>
              <w:t xml:space="preserve">Pupil premium headline results also </w:t>
            </w:r>
            <w:proofErr w:type="gramStart"/>
            <w:r w:rsidR="000A795D">
              <w:rPr>
                <w:color w:val="auto"/>
              </w:rPr>
              <w:t>improved, but</w:t>
            </w:r>
            <w:proofErr w:type="gramEnd"/>
            <w:r w:rsidR="000A795D">
              <w:rPr>
                <w:color w:val="auto"/>
              </w:rPr>
              <w:t xml:space="preserve"> were lower than non-pupil premium children.</w:t>
            </w:r>
          </w:p>
          <w:p w14:paraId="139A8AAC" w14:textId="77777777" w:rsidR="000A795D" w:rsidRDefault="000A795D" w:rsidP="000A795D">
            <w:pPr>
              <w:pStyle w:val="ListParagraph"/>
              <w:numPr>
                <w:ilvl w:val="0"/>
                <w:numId w:val="0"/>
              </w:numPr>
              <w:suppressAutoHyphens w:val="0"/>
              <w:autoSpaceDN/>
              <w:ind w:left="720"/>
              <w:rPr>
                <w:color w:val="auto"/>
              </w:rPr>
            </w:pPr>
          </w:p>
          <w:p w14:paraId="4DA7FA24" w14:textId="317D8A9B" w:rsidR="000A795D" w:rsidRPr="000A795D" w:rsidRDefault="000A795D" w:rsidP="00827BDA">
            <w:pPr>
              <w:pStyle w:val="ListParagraph"/>
              <w:numPr>
                <w:ilvl w:val="0"/>
                <w:numId w:val="14"/>
              </w:numPr>
              <w:suppressAutoHyphens w:val="0"/>
              <w:autoSpaceDN/>
              <w:rPr>
                <w:b/>
                <w:bCs/>
                <w:color w:val="auto"/>
              </w:rPr>
            </w:pPr>
            <w:r w:rsidRPr="000A795D">
              <w:rPr>
                <w:b/>
                <w:bCs/>
                <w:color w:val="auto"/>
                <w:u w:val="single"/>
              </w:rPr>
              <w:t>Results for our PP cohort</w:t>
            </w:r>
            <w:r w:rsidRPr="000A795D">
              <w:rPr>
                <w:b/>
                <w:bCs/>
                <w:color w:val="auto"/>
              </w:rPr>
              <w:t>:</w:t>
            </w:r>
          </w:p>
          <w:p w14:paraId="50461C3F" w14:textId="6660604A" w:rsidR="000A795D" w:rsidRPr="000A795D" w:rsidRDefault="000A795D" w:rsidP="000A795D">
            <w:pPr>
              <w:pStyle w:val="ListParagraph"/>
              <w:numPr>
                <w:ilvl w:val="0"/>
                <w:numId w:val="14"/>
              </w:numPr>
              <w:suppressAutoHyphens w:val="0"/>
              <w:autoSpaceDN/>
              <w:ind w:left="1723"/>
              <w:rPr>
                <w:b/>
                <w:bCs/>
                <w:color w:val="FF0000"/>
              </w:rPr>
            </w:pPr>
            <w:r w:rsidRPr="000A795D">
              <w:rPr>
                <w:b/>
                <w:bCs/>
                <w:color w:val="FF0000"/>
              </w:rPr>
              <w:t>Expected or above:</w:t>
            </w:r>
          </w:p>
          <w:p w14:paraId="2DD74366" w14:textId="577CA01B" w:rsidR="000A795D" w:rsidRDefault="000A795D" w:rsidP="000A795D">
            <w:pPr>
              <w:pStyle w:val="ListParagraph"/>
              <w:numPr>
                <w:ilvl w:val="0"/>
                <w:numId w:val="14"/>
              </w:numPr>
              <w:suppressAutoHyphens w:val="0"/>
              <w:autoSpaceDN/>
              <w:ind w:left="1723"/>
              <w:rPr>
                <w:color w:val="auto"/>
              </w:rPr>
            </w:pPr>
            <w:r>
              <w:rPr>
                <w:color w:val="auto"/>
              </w:rPr>
              <w:t>Reading: 52%</w:t>
            </w:r>
          </w:p>
          <w:p w14:paraId="047D0BC6" w14:textId="2E03D60C" w:rsidR="000A795D" w:rsidRDefault="000A795D" w:rsidP="000A795D">
            <w:pPr>
              <w:pStyle w:val="ListParagraph"/>
              <w:numPr>
                <w:ilvl w:val="0"/>
                <w:numId w:val="14"/>
              </w:numPr>
              <w:suppressAutoHyphens w:val="0"/>
              <w:autoSpaceDN/>
              <w:ind w:left="1723"/>
              <w:rPr>
                <w:color w:val="auto"/>
              </w:rPr>
            </w:pPr>
            <w:r>
              <w:rPr>
                <w:color w:val="auto"/>
              </w:rPr>
              <w:t>Writing: 52%</w:t>
            </w:r>
          </w:p>
          <w:p w14:paraId="3C67C610" w14:textId="04ECEC4F" w:rsidR="000A795D" w:rsidRDefault="000A795D" w:rsidP="000A795D">
            <w:pPr>
              <w:pStyle w:val="ListParagraph"/>
              <w:numPr>
                <w:ilvl w:val="0"/>
                <w:numId w:val="14"/>
              </w:numPr>
              <w:suppressAutoHyphens w:val="0"/>
              <w:autoSpaceDN/>
              <w:ind w:left="1723"/>
              <w:rPr>
                <w:color w:val="auto"/>
              </w:rPr>
            </w:pPr>
            <w:r>
              <w:rPr>
                <w:color w:val="auto"/>
              </w:rPr>
              <w:t>Maths: 52%</w:t>
            </w:r>
          </w:p>
          <w:p w14:paraId="73172563" w14:textId="58F696F2" w:rsidR="000A795D" w:rsidRDefault="000A795D" w:rsidP="000A795D">
            <w:pPr>
              <w:pStyle w:val="ListParagraph"/>
              <w:numPr>
                <w:ilvl w:val="0"/>
                <w:numId w:val="14"/>
              </w:numPr>
              <w:suppressAutoHyphens w:val="0"/>
              <w:autoSpaceDN/>
              <w:ind w:left="1723"/>
              <w:rPr>
                <w:color w:val="auto"/>
              </w:rPr>
            </w:pPr>
            <w:r>
              <w:rPr>
                <w:color w:val="auto"/>
              </w:rPr>
              <w:t>Combined: 45%</w:t>
            </w:r>
          </w:p>
          <w:p w14:paraId="16C5CB7F" w14:textId="77777777" w:rsidR="000A795D" w:rsidRDefault="000A795D" w:rsidP="000A795D">
            <w:pPr>
              <w:pStyle w:val="ListParagraph"/>
              <w:numPr>
                <w:ilvl w:val="0"/>
                <w:numId w:val="0"/>
              </w:numPr>
              <w:suppressAutoHyphens w:val="0"/>
              <w:autoSpaceDN/>
              <w:ind w:left="720"/>
              <w:rPr>
                <w:color w:val="auto"/>
              </w:rPr>
            </w:pPr>
          </w:p>
          <w:p w14:paraId="081A3067" w14:textId="00DA081A" w:rsidR="000A795D" w:rsidRPr="000A795D" w:rsidRDefault="000A795D" w:rsidP="000A795D">
            <w:pPr>
              <w:pStyle w:val="ListParagraph"/>
              <w:numPr>
                <w:ilvl w:val="0"/>
                <w:numId w:val="14"/>
              </w:numPr>
              <w:suppressAutoHyphens w:val="0"/>
              <w:autoSpaceDN/>
              <w:ind w:left="1723"/>
              <w:rPr>
                <w:b/>
                <w:bCs/>
                <w:color w:val="FF0000"/>
              </w:rPr>
            </w:pPr>
            <w:r w:rsidRPr="000A795D">
              <w:rPr>
                <w:b/>
                <w:bCs/>
                <w:color w:val="FF0000"/>
              </w:rPr>
              <w:t>Greater Depth:</w:t>
            </w:r>
          </w:p>
          <w:p w14:paraId="02E82383" w14:textId="2AF552CE" w:rsidR="000A795D" w:rsidRDefault="000A795D" w:rsidP="000A795D">
            <w:pPr>
              <w:pStyle w:val="ListParagraph"/>
              <w:numPr>
                <w:ilvl w:val="0"/>
                <w:numId w:val="17"/>
              </w:numPr>
              <w:suppressAutoHyphens w:val="0"/>
              <w:autoSpaceDN/>
              <w:ind w:left="1723"/>
              <w:rPr>
                <w:color w:val="auto"/>
              </w:rPr>
            </w:pPr>
            <w:r>
              <w:rPr>
                <w:color w:val="auto"/>
              </w:rPr>
              <w:t>Reading: 13%</w:t>
            </w:r>
          </w:p>
          <w:p w14:paraId="79F0C183" w14:textId="6D7A00AE" w:rsidR="000A795D" w:rsidRDefault="000A795D" w:rsidP="000A795D">
            <w:pPr>
              <w:pStyle w:val="ListParagraph"/>
              <w:numPr>
                <w:ilvl w:val="0"/>
                <w:numId w:val="17"/>
              </w:numPr>
              <w:suppressAutoHyphens w:val="0"/>
              <w:autoSpaceDN/>
              <w:ind w:left="1723"/>
              <w:rPr>
                <w:color w:val="auto"/>
              </w:rPr>
            </w:pPr>
            <w:r>
              <w:rPr>
                <w:color w:val="auto"/>
              </w:rPr>
              <w:t>Writing: 25%</w:t>
            </w:r>
          </w:p>
          <w:p w14:paraId="494439C6" w14:textId="40D8D457" w:rsidR="000A795D" w:rsidRDefault="000A795D" w:rsidP="000A795D">
            <w:pPr>
              <w:pStyle w:val="ListParagraph"/>
              <w:numPr>
                <w:ilvl w:val="0"/>
                <w:numId w:val="17"/>
              </w:numPr>
              <w:suppressAutoHyphens w:val="0"/>
              <w:autoSpaceDN/>
              <w:ind w:left="1723"/>
              <w:rPr>
                <w:color w:val="auto"/>
              </w:rPr>
            </w:pPr>
            <w:r>
              <w:rPr>
                <w:color w:val="auto"/>
              </w:rPr>
              <w:t>Maths: 6%</w:t>
            </w:r>
          </w:p>
          <w:p w14:paraId="75B4D530" w14:textId="2B3B1969" w:rsidR="000A795D" w:rsidRDefault="000A795D" w:rsidP="000A795D">
            <w:pPr>
              <w:pStyle w:val="ListParagraph"/>
              <w:numPr>
                <w:ilvl w:val="0"/>
                <w:numId w:val="17"/>
              </w:numPr>
              <w:suppressAutoHyphens w:val="0"/>
              <w:autoSpaceDN/>
              <w:ind w:left="1723"/>
              <w:rPr>
                <w:color w:val="auto"/>
              </w:rPr>
            </w:pPr>
            <w:r>
              <w:rPr>
                <w:color w:val="auto"/>
              </w:rPr>
              <w:t>Combined: 0%</w:t>
            </w:r>
          </w:p>
          <w:p w14:paraId="62026F4C" w14:textId="080894D7" w:rsidR="002F4242" w:rsidRPr="000B6B7D" w:rsidRDefault="002F4242" w:rsidP="00827BDA">
            <w:pPr>
              <w:pStyle w:val="ListParagraph"/>
              <w:numPr>
                <w:ilvl w:val="0"/>
                <w:numId w:val="14"/>
              </w:numPr>
              <w:suppressAutoHyphens w:val="0"/>
              <w:autoSpaceDN/>
              <w:rPr>
                <w:color w:val="auto"/>
              </w:rPr>
            </w:pPr>
            <w:r>
              <w:rPr>
                <w:color w:val="auto"/>
              </w:rPr>
              <w:t xml:space="preserve">Pupil progress between Y2 and Y6, although improved from 2022, was below average in both Reading and Maths, and reflects the interruptions to learning caused by the pandemic. This is an area that the school still needs to work on </w:t>
            </w:r>
            <w:proofErr w:type="gramStart"/>
            <w:r>
              <w:rPr>
                <w:color w:val="auto"/>
              </w:rPr>
              <w:t>in order to</w:t>
            </w:r>
            <w:proofErr w:type="gramEnd"/>
            <w:r>
              <w:rPr>
                <w:color w:val="auto"/>
              </w:rPr>
              <w:t xml:space="preserve"> improve outcomes.</w:t>
            </w:r>
          </w:p>
          <w:p w14:paraId="656B222C" w14:textId="3B1E73E1" w:rsidR="004E5ECD" w:rsidRPr="004E5ECD" w:rsidRDefault="004E5ECD" w:rsidP="004E5ECD">
            <w:pPr>
              <w:pStyle w:val="ListParagraph"/>
              <w:numPr>
                <w:ilvl w:val="0"/>
                <w:numId w:val="14"/>
              </w:numPr>
              <w:suppressAutoHyphens w:val="0"/>
              <w:autoSpaceDN/>
              <w:rPr>
                <w:color w:val="auto"/>
              </w:rPr>
            </w:pPr>
            <w:r>
              <w:rPr>
                <w:rFonts w:cs="Arial"/>
                <w:color w:val="auto"/>
              </w:rPr>
              <w:t xml:space="preserve">Behaviour and engagement </w:t>
            </w:r>
            <w:proofErr w:type="gramStart"/>
            <w:r>
              <w:rPr>
                <w:rFonts w:cs="Arial"/>
                <w:color w:val="auto"/>
              </w:rPr>
              <w:t>has</w:t>
            </w:r>
            <w:proofErr w:type="gramEnd"/>
            <w:r>
              <w:rPr>
                <w:rFonts w:cs="Arial"/>
                <w:color w:val="auto"/>
              </w:rPr>
              <w:t xml:space="preserve"> improved over time as a result of interventions from our learning mentor and additional staff brought in to support learning.</w:t>
            </w:r>
            <w:r w:rsidR="002F4242">
              <w:rPr>
                <w:rFonts w:cs="Arial"/>
                <w:color w:val="auto"/>
              </w:rPr>
              <w:t xml:space="preserve"> This was recognised by Ofsted in November 23, where behaviour was graded as “Good”.</w:t>
            </w:r>
          </w:p>
          <w:p w14:paraId="5023926C" w14:textId="6FD54EE1" w:rsidR="0064167B" w:rsidRPr="002F4242" w:rsidRDefault="00545AB6" w:rsidP="002F4242">
            <w:pPr>
              <w:pStyle w:val="ListParagraph"/>
              <w:numPr>
                <w:ilvl w:val="0"/>
                <w:numId w:val="14"/>
              </w:numPr>
              <w:suppressAutoHyphens w:val="0"/>
              <w:autoSpaceDN/>
              <w:rPr>
                <w:color w:val="auto"/>
              </w:rPr>
            </w:pPr>
            <w:r w:rsidRPr="004E5ECD">
              <w:rPr>
                <w:color w:val="auto"/>
              </w:rPr>
              <w:t>Weekly and termly a</w:t>
            </w:r>
            <w:r w:rsidR="00DD7E94" w:rsidRPr="004E5ECD">
              <w:rPr>
                <w:color w:val="auto"/>
              </w:rPr>
              <w:t>ttendance has improved for all groups of pupils over the last 12 months and persistent absenteeism has reduced.</w:t>
            </w:r>
            <w:r w:rsidRPr="004E5ECD">
              <w:rPr>
                <w:color w:val="auto"/>
              </w:rPr>
              <w:t xml:space="preserve"> This is a result of tireless work from the staff team at the school, led by our senior family support worker, and is a trend that is continuing into the 23-24 academic year. It was positively reviewed by our multi-academy trust, and by Ofsted, in the Autumn term 2023. </w:t>
            </w:r>
          </w:p>
        </w:tc>
      </w:tr>
    </w:tbl>
    <w:p w14:paraId="188578FB" w14:textId="537EFB51" w:rsidR="0008384B" w:rsidRDefault="0008384B" w:rsidP="0008384B"/>
    <w:p w14:paraId="01F0D165" w14:textId="1FC4C866" w:rsidR="0008384B" w:rsidRDefault="0008384B" w:rsidP="0008384B"/>
    <w:p w14:paraId="2A7D555F" w14:textId="77777777" w:rsidR="00E66558" w:rsidRDefault="00E66558">
      <w:pPr>
        <w:spacing w:after="0" w:line="240" w:lineRule="auto"/>
      </w:pPr>
    </w:p>
    <w:bookmarkEnd w:id="16"/>
    <w:bookmarkEnd w:id="17"/>
    <w:bookmarkEnd w:id="18"/>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816F58"/>
    <w:multiLevelType w:val="hybridMultilevel"/>
    <w:tmpl w:val="84CE6922"/>
    <w:lvl w:ilvl="0" w:tplc="2ED4026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B12C7A64"/>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E1836"/>
    <w:multiLevelType w:val="hybridMultilevel"/>
    <w:tmpl w:val="9DEA8EF2"/>
    <w:lvl w:ilvl="0" w:tplc="B0983F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FBA08B1"/>
    <w:multiLevelType w:val="hybridMultilevel"/>
    <w:tmpl w:val="ACA84522"/>
    <w:lvl w:ilvl="0" w:tplc="0646138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0"/>
  </w:num>
  <w:num w:numId="6" w16cid:durableId="798501009">
    <w:abstractNumId w:val="7"/>
  </w:num>
  <w:num w:numId="7" w16cid:durableId="1210847263">
    <w:abstractNumId w:val="11"/>
  </w:num>
  <w:num w:numId="8" w16cid:durableId="982348153">
    <w:abstractNumId w:val="16"/>
  </w:num>
  <w:num w:numId="9" w16cid:durableId="1529290868">
    <w:abstractNumId w:val="14"/>
  </w:num>
  <w:num w:numId="10" w16cid:durableId="1171066271">
    <w:abstractNumId w:val="12"/>
  </w:num>
  <w:num w:numId="11" w16cid:durableId="1453552857">
    <w:abstractNumId w:val="3"/>
  </w:num>
  <w:num w:numId="12" w16cid:durableId="1812097430">
    <w:abstractNumId w:val="15"/>
  </w:num>
  <w:num w:numId="13" w16cid:durableId="42288650">
    <w:abstractNumId w:val="10"/>
  </w:num>
  <w:num w:numId="14" w16cid:durableId="1721712531">
    <w:abstractNumId w:val="8"/>
  </w:num>
  <w:num w:numId="15" w16cid:durableId="1044914169">
    <w:abstractNumId w:val="13"/>
  </w:num>
  <w:num w:numId="16" w16cid:durableId="953512784">
    <w:abstractNumId w:val="9"/>
  </w:num>
  <w:num w:numId="17" w16cid:durableId="970329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A795D"/>
    <w:rsid w:val="000B0D49"/>
    <w:rsid w:val="000B203E"/>
    <w:rsid w:val="000B6B7D"/>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242"/>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954FA"/>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632EC"/>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5ECD"/>
    <w:rsid w:val="004E72DD"/>
    <w:rsid w:val="005025FB"/>
    <w:rsid w:val="00503462"/>
    <w:rsid w:val="0051286E"/>
    <w:rsid w:val="00516021"/>
    <w:rsid w:val="00516457"/>
    <w:rsid w:val="00516641"/>
    <w:rsid w:val="0051729F"/>
    <w:rsid w:val="00520A0C"/>
    <w:rsid w:val="00530E37"/>
    <w:rsid w:val="00535946"/>
    <w:rsid w:val="00537167"/>
    <w:rsid w:val="005452CF"/>
    <w:rsid w:val="00545AB6"/>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2881"/>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165D2"/>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7E"/>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C6ADA"/>
    <w:rsid w:val="00DD21A1"/>
    <w:rsid w:val="00DD6B7D"/>
    <w:rsid w:val="00DD6E14"/>
    <w:rsid w:val="00DD7E94"/>
    <w:rsid w:val="00DE15AC"/>
    <w:rsid w:val="00DF2015"/>
    <w:rsid w:val="00E061EC"/>
    <w:rsid w:val="00E10E81"/>
    <w:rsid w:val="00E13E51"/>
    <w:rsid w:val="00E20847"/>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David Jobling</cp:lastModifiedBy>
  <cp:revision>2</cp:revision>
  <cp:lastPrinted>2014-09-18T05:26:00Z</cp:lastPrinted>
  <dcterms:created xsi:type="dcterms:W3CDTF">2024-01-26T16:41:00Z</dcterms:created>
  <dcterms:modified xsi:type="dcterms:W3CDTF">2024-01-26T16:41:00Z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